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AA424" w14:textId="77777777" w:rsidR="005B728E" w:rsidRP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ES"/>
        </w:rPr>
      </w:pPr>
      <w:r w:rsidRPr="005B728E">
        <w:rPr>
          <w:rFonts w:ascii="Tahoma" w:eastAsia="Times New Roman" w:hAnsi="Tahoma" w:cs="Tahoma"/>
          <w:b/>
          <w:bCs/>
          <w:noProof/>
          <w:color w:val="000000"/>
          <w:sz w:val="18"/>
          <w:szCs w:val="18"/>
          <w:lang w:eastAsia="es-ES"/>
        </w:rPr>
        <w:drawing>
          <wp:inline distT="0" distB="0" distL="0" distR="0" wp14:anchorId="0AD4A9A6" wp14:editId="1B7CF99B">
            <wp:extent cx="1123950" cy="4476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7C222" w14:textId="77777777" w:rsidR="005B728E" w:rsidRPr="005B728E" w:rsidRDefault="005B728E" w:rsidP="005B728E">
      <w:pPr>
        <w:shd w:val="clear" w:color="auto" w:fill="FFFFFF"/>
        <w:spacing w:before="199" w:line="240" w:lineRule="auto"/>
        <w:jc w:val="center"/>
        <w:outlineLvl w:val="0"/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</w:pPr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 xml:space="preserve">Fuente de </w:t>
      </w:r>
      <w:proofErr w:type="spellStart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>Alimentacion</w:t>
      </w:r>
      <w:proofErr w:type="spellEnd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 xml:space="preserve"> High </w:t>
      </w:r>
      <w:proofErr w:type="spellStart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>Tech</w:t>
      </w:r>
      <w:proofErr w:type="spellEnd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 xml:space="preserve"> </w:t>
      </w:r>
      <w:proofErr w:type="spellStart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>MicroATX</w:t>
      </w:r>
      <w:proofErr w:type="spellEnd"/>
      <w:r w:rsidRPr="005B728E">
        <w:rPr>
          <w:rFonts w:ascii="inherit" w:eastAsia="Times New Roman" w:hAnsi="inherit" w:cs="Tahoma"/>
          <w:b/>
          <w:bCs/>
          <w:color w:val="000000"/>
          <w:kern w:val="36"/>
          <w:sz w:val="27"/>
          <w:szCs w:val="27"/>
          <w:lang w:eastAsia="es-ES"/>
        </w:rPr>
        <w:t xml:space="preserve"> 500W</w:t>
      </w:r>
    </w:p>
    <w:p w14:paraId="262F7004" w14:textId="0FC6FABD" w:rsidR="005B728E" w:rsidRP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ES"/>
        </w:rPr>
      </w:pPr>
      <w:r w:rsidRPr="005B728E">
        <w:rPr>
          <w:rFonts w:ascii="Tahoma" w:eastAsia="Times New Roman" w:hAnsi="Tahoma" w:cs="Tahoma"/>
          <w:b/>
          <w:bCs/>
          <w:noProof/>
          <w:color w:val="000000"/>
          <w:sz w:val="18"/>
          <w:szCs w:val="18"/>
          <w:lang w:eastAsia="es-ES"/>
        </w:rPr>
        <w:drawing>
          <wp:inline distT="0" distB="0" distL="0" distR="0" wp14:anchorId="248080E8" wp14:editId="70DE16B3">
            <wp:extent cx="2857500" cy="28575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2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es-ES"/>
        </w:rPr>
        <w:br/>
      </w:r>
    </w:p>
    <w:p w14:paraId="04E8FEE2" w14:textId="77777777" w:rsidR="005B728E" w:rsidRP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</w:pPr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>Cod. Producto: </w:t>
      </w:r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A-</w:t>
      </w:r>
      <w:proofErr w:type="gramStart"/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10353  |</w:t>
      </w:r>
      <w:proofErr w:type="gramEnd"/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|  </w:t>
      </w:r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>Fabricante: </w:t>
      </w:r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TECNIMAX</w:t>
      </w:r>
    </w:p>
    <w:p w14:paraId="5F5D231D" w14:textId="77777777" w:rsid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</w:pPr>
      <w:proofErr w:type="spellStart"/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>Part</w:t>
      </w:r>
      <w:proofErr w:type="spellEnd"/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 xml:space="preserve"> </w:t>
      </w:r>
      <w:proofErr w:type="spellStart"/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>Number</w:t>
      </w:r>
      <w:proofErr w:type="spellEnd"/>
      <w:r w:rsidRPr="005B728E">
        <w:rPr>
          <w:rFonts w:ascii="Tahoma" w:eastAsia="Times New Roman" w:hAnsi="Tahoma" w:cs="Tahoma"/>
          <w:b/>
          <w:bCs/>
          <w:color w:val="808080"/>
          <w:sz w:val="18"/>
          <w:szCs w:val="18"/>
          <w:lang w:eastAsia="es-ES"/>
        </w:rPr>
        <w:t>: </w:t>
      </w:r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TMX500SFX </w:t>
      </w:r>
    </w:p>
    <w:p w14:paraId="7986C4C4" w14:textId="1319C9BD" w:rsidR="005B728E" w:rsidRP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</w:pPr>
      <w:r w:rsidRPr="005B728E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  <w:t> </w:t>
      </w:r>
    </w:p>
    <w:p w14:paraId="0722EFC9" w14:textId="77777777" w:rsidR="005B728E" w:rsidRPr="005B728E" w:rsidRDefault="005B728E" w:rsidP="005B728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666666"/>
          <w:sz w:val="15"/>
          <w:szCs w:val="15"/>
          <w:lang w:eastAsia="es-ES"/>
        </w:rPr>
      </w:pPr>
      <w:r w:rsidRPr="005B728E">
        <w:rPr>
          <w:rFonts w:ascii="Tahoma" w:eastAsia="Times New Roman" w:hAnsi="Tahoma" w:cs="Tahoma"/>
          <w:b/>
          <w:bCs/>
          <w:color w:val="303030"/>
          <w:sz w:val="21"/>
          <w:szCs w:val="21"/>
          <w:lang w:eastAsia="es-ES"/>
        </w:rPr>
        <w:t>Descripción de Producto</w:t>
      </w:r>
    </w:p>
    <w:p w14:paraId="6255A62B" w14:textId="77777777" w:rsidR="005B728E" w:rsidRPr="005B728E" w:rsidRDefault="005B728E" w:rsidP="005B728E">
      <w:pPr>
        <w:shd w:val="clear" w:color="auto" w:fill="FFFFFF"/>
        <w:spacing w:line="240" w:lineRule="auto"/>
        <w:rPr>
          <w:rFonts w:ascii="Tahoma" w:eastAsia="Times New Roman" w:hAnsi="Tahoma" w:cs="Tahoma"/>
          <w:b/>
          <w:bCs/>
          <w:color w:val="666666"/>
          <w:sz w:val="18"/>
          <w:szCs w:val="18"/>
          <w:lang w:eastAsia="es-ES"/>
        </w:rPr>
      </w:pPr>
      <w:r w:rsidRPr="005B728E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es-ES"/>
        </w:rPr>
        <w:t>Descripción</w:t>
      </w:r>
      <w:r w:rsidRPr="005B728E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es-ES"/>
        </w:rPr>
        <w:br/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Fuente de alimentación SFX (Micro ATX) con ventilador silencioso de 80x80mm con sistema de control de velocidad.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Excelente estabilidad y eficiencia gracias al sistema PFC Pasivo que incorpora.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 dos circuitos de salida de +12V para una distribución más equilibrada de la alimentación eléctrica.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 3 conectores SATA para los discos duros y unidades Serial ATA.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 2 conectores Molex para sus dispositivos IDE.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</w:r>
      <w:r w:rsidRPr="005B728E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es-ES"/>
        </w:rPr>
        <w:t>Especificaciones</w:t>
      </w:r>
      <w:r w:rsidRPr="005B728E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es-ES"/>
        </w:rPr>
        <w:br/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Tensión de entrada: 230V AC.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Frecuencia de entrada: 50Hz.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Eficiencia: &gt; 70% a plena carga.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Potencia de salida: 500W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Conector Principal de Alimentación: 20/24 pines.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Conector ATX 12V: 4 pines.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Conector PCI Express (PCI-e): -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Conectores Serial ATA (SATA): 3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Conectores Molex (IDE): 2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Ventilador silencioso de 80x80mm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Temperatura de funcionamiento recomendada: 0º ~ 40º C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Temperatura de almacenamiento: -20º a +70º C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Humedad de funcionamiento: 20% a 90%, sin condensación a 40º C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Humedad de almacenamiento: 5% a 95%, sin condensación a 50º C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Altitud de funcionamiento: 0 a 10.000 pies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Altitud de almacenamiento: 0 a 50.000 pies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OVP Protección frente a sobrevoltaje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OCP Protección frente a sobretensión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SCP Protección frente a cortocircuitos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 xml:space="preserve">CE, FCC </w:t>
      </w:r>
      <w:proofErr w:type="spellStart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Class</w:t>
      </w:r>
      <w:proofErr w:type="spellEnd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 xml:space="preserve"> B, RoHS, CISPR 22 </w:t>
      </w:r>
      <w:proofErr w:type="spellStart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Class</w:t>
      </w:r>
      <w:proofErr w:type="spellEnd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 xml:space="preserve"> B, BSMI </w:t>
      </w:r>
      <w:proofErr w:type="spellStart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Class</w:t>
      </w:r>
      <w:proofErr w:type="spellEnd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 xml:space="preserve"> B, IEC1000-3-2 </w:t>
      </w:r>
      <w:proofErr w:type="spellStart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>Class</w:t>
      </w:r>
      <w:proofErr w:type="spellEnd"/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t xml:space="preserve"> D, TÜV, CB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Nivel Sonoro: 25 dB mín.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Dimensiones (sin cables): 125 x 100 x 63 mm</w:t>
      </w:r>
      <w:r w:rsidRPr="005B728E">
        <w:rPr>
          <w:rFonts w:ascii="Tahoma" w:eastAsia="Times New Roman" w:hAnsi="Tahoma" w:cs="Tahoma"/>
          <w:b/>
          <w:bCs/>
          <w:color w:val="999999"/>
          <w:sz w:val="20"/>
          <w:szCs w:val="20"/>
          <w:lang w:eastAsia="es-ES"/>
        </w:rPr>
        <w:br/>
        <w:t>MTBF (Tiempo medio entre fallos) a 25º: 50.000 hora</w:t>
      </w:r>
    </w:p>
    <w:p w14:paraId="6B62851F" w14:textId="77777777" w:rsidR="007A0825" w:rsidRDefault="007A0825"/>
    <w:sectPr w:rsidR="007A0825" w:rsidSect="005B728E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28E"/>
    <w:rsid w:val="005B728E"/>
    <w:rsid w:val="007A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61881"/>
  <w15:chartTrackingRefBased/>
  <w15:docId w15:val="{0117512D-CB7F-44A2-B04E-BD3DC28B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41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19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26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0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C64D8-13C1-4201-9D1D-4AA02885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 Ron (CAYCON)</dc:creator>
  <cp:keywords/>
  <dc:description/>
  <cp:lastModifiedBy>Nieves Ron (CAYCON)</cp:lastModifiedBy>
  <cp:revision>1</cp:revision>
  <dcterms:created xsi:type="dcterms:W3CDTF">2021-02-10T09:04:00Z</dcterms:created>
  <dcterms:modified xsi:type="dcterms:W3CDTF">2021-02-10T09:06:00Z</dcterms:modified>
</cp:coreProperties>
</file>